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ALLEGATO 1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SCHEMA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CONVENZIONE PER LA GESTIONE DEL SERVIZIO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CASSA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DELLE ISTITUZIONI SCOLASTICHE STATALI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L’Istituto scolastico .....................................................................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(di seguito denominato “Istituto”)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 sede in............................................via/piazza..............................................................................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C.F. n ..............................................................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rappresentato da ..................................................................................................................................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nata/o a ..................................................il............................................ nella sua qualità di Dirigente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scolastico dell’Istituto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</w:t>
      </w:r>
      <w:proofErr w:type="spellEnd"/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(di seguito denominato “Gestore”)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 sede in............................................via/piazza..............................................................................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C.F. n . .....................................................................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rappresentata/o da ..............................................................................................................................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nata/o a .. ................................................ il ...................................nella sua qualità di .......................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5"/>
          <w:szCs w:val="5"/>
        </w:rPr>
      </w:pPr>
      <w:r>
        <w:rPr>
          <w:rFonts w:ascii="Times New Roman" w:hAnsi="Times New Roman" w:cs="Times New Roman"/>
          <w:color w:val="000000"/>
          <w:sz w:val="5"/>
          <w:szCs w:val="5"/>
        </w:rPr>
        <w:t>....................................................................................................................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(di seguito Istituto e Gestore, citati unitamente, sono anche denominati “Parti”)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Premesso che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l’Istituto ai sensi del D.L. 95/2012 convertito dalla Legge 135/2012 è incluso nella tabella 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annessa alla legge 720/1984 ed è pertanto sottoposto a regime di Tesoreria Unica di cui alla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medesima legge e ss. mm. 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 nonché ai decreti attuativi del 22 novembre 1985 e 4 agosto 2009.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 conviene e si stipula quanto segue: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(AFFIDAMENTO DEL SERVIZIO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CASSA)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1. Con la presente convenzione, l’Istituto, in base alla delibera dell’organo competente n.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……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del……………………………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., affida il proprio servizio di cassa al Gestore che lo svolge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presso……………………………………………………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Il servizio di cassa è prestato in conformità ai patti stipulati con la presente convenzione, nei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giorni lavorativi e nelle ore in cui gli sportelli del Gestore sono aperti al pubblico.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Di comune accordo tra le Parti, potranno essere apportati alle modalità di espletamento del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servizio i perfezionamenti metodologici ed informatici ritenuti necessari per migliorarne lo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svolgimento. Per la formalizzazione dei relativi accordi può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procedersi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con scambio di lettere,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anche a mezzo PEC, sottoscritte digitalmente.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2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(OGGETTO DELLA CONVENZIONE)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Il servizio di cassa di cui alla presente convenzione ha per oggetto il complesso delle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operazioni inerenti la gestione finanziaria dell’Istituto e, in particolare, la riscossione delle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entrate e il pagamento delle spese facenti capo all’Istituto e dallo stesso ordinate, nonché 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custodia e l’amministrazione di titoli e valori di cui al successivo art. 12 e gli adempimenti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201312200956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4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connessi previsti nella legge e dai regolamenti dell’Istituto. Il servizio di cassa ha per oggetto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altresì gli elementi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consulenziali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connessi e collegati alle attività di cui al comma 5 del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presente articolo.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Il Gestore esegue le operazioni di cui al comma 1 nel rispetto delle norme di legge (in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particolare del D.I. 44/2001 ss. mm. 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., della legge 720/1984 e successive modificazioni, del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D.L. 95/2012 convertito dalla Legge 135/2012) e di quelle contenute negli articoli che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seguono.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L’esercizio finanziario dell’Istituto ha durata annuale, con inizio il 1° gennaio e termine il 31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dicembre di ciascun anno.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Ogni deposito, comunque costituito, è intestato all’Istituto e viene gestito dal Gestore; il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 deve effettuare le operazioni di incasso e di pagamento disposte dall’Istituto a valere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sulle contabilità speciali aperte presso la competente sezione di tesoreria provinciale dello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Stato.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L’Istituto, nell’ambito delle risorse finanziarie disponibili e non sottoposte al regime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tesoreria unica (cfr. D.M. 22 novembre 1985 ss. mm. 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.), compatibilmente con la continuità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dell’erogazione del servizio educativo e formativo, può concordare con il gestore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l’effettuazione di operazioni di gestione finanziaria della liquidità e di miglioramento della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redditività che assicurino la conservazione del capitale impegnato.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Al fine di migliorare il servizio di cassa, il Gestore può rendere disponibili sistemi evoluti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incasso e pagamento, basati sulla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multicanalità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e la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dematerializzazione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, garantendone il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presidio e la relativa evoluzione. Le somme riscosse dall’Istituto tramite servizi evoluti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incasso sono riversate sulla contabilità speciale una volta divenute liquide ed esigibili.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7. Il Gestore mette a disposizione tutti gli sportelli dislocati sul territorio nazionale, al fine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garantire la circolarità delle operazioni di incasso e pagamento presso uno qualsiasi degli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stessi.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3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(CARATTERISTICHE DEL SERVIZIO)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Lo scambio dei dati e della documentazione inerenti il servizio è effettuato tramite sistemi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informatici con collegamento diretto tra l’Istituto e il Gestore le cui modalità sono stabilite fra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le parti. In particolare si utilizza l’ordinativo informatico locale (di seguito “OIL”) nel rispetto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delle specifiche tecniche e procedurali e delle regole di colloquio definite nell’Allegato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tecnico sul formato dei flussi (di seguito “Allegato tecnico”) di cui alle Linee Guida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DigitPA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del 21 luglio 2011 recanti l’“Aggiornamento dello standard OIL - Applicazione alle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Istituzioni scolastiche” ss. mm. 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L’OIL è sottoscritto con firma digitale, qualificata ai sensi di legge, dai soggetti individuati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dall’Istituto e da questi autorizzati alla trasmissione dei documenti informatici inerenti 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gestione del servizio di cassa; l’Istituto, nell'ambito della propria autonomia, definisce i poteri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firma dei soggetti autorizzati a sottoscrivere i documenti informatici e fornisce al Gestore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gli elementi utili per individuare i soggetti firmatari ed i relativi certificati, ovvero fornisce 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 copia dei certificati stessi; l’Istituto si impegna a comunicare tempestivamente 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 ogni variazione dei soggetti autorizzati alla firma.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Ai fini del riconoscimento dell’Istituto e per garantire e verificare l’integrità, la riservatezza,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la legittimità e non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ripudiabilità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dei documenti trasmessi elettronicamente, si procede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all'implementazione di un sistema di codici personali di accesso. Ciascun utente,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preventivamente autorizzato dall’Istituto nelle forme prescritte, provvede direttamente alla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generazione dei codici e trasmette al competente ufficio dell’Istituto ed al Gestore una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dichiarazione contenente il formale impegno a custodire tali codici con la più scrupolosa cura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 diligenza e a non divulgarli o comunicarli ad alcuno.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L’utente è responsabile del regolare e legittimo utilizzo dei codici personali di accesso nei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confronti dell'Istituto; il Gestore non risponde di eventuali danni conseguenti ad usi impropri.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 caso di smarrimento o furto, l'utente deve darne immediata comunicazione al Gestore, fatta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201312200956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5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salva l’eventuale denuncia alle Autorità competenti; ricevuta la suddetta comunicazione, il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 disattiva i codici smarriti o rubati. L’Istituto deve quindi provvedere alla richiesta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nuovi codici all’Ente certificatore e alla successiva comunicazione degli stessi al Gestore.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L'apposizione della firma digitale al documento informatico equivale alla sottoscrizione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prevista per gli atti e documenti in forma scritta su supporto cartaceo; può essere sottoscritto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 flusso contenente un singolo OIL ovvero più OIL. Ai fini dell’esecuzione, della variazione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 dell’annullamento dovranno essere considerati i singoli OIL.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Il flusso degli ordinativi è predisposto secondo gli standard e le specifiche tecniche indicate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nell’Allegato tecnico e deve contenere tutte le informazioni e i dati previsti nella vigente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normativa e nella presente convenzione.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7. Il documento informatico trasmesso per via telematica si intende inviato e pervenuto 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destinatario se trasmesso secondo le procedure concordate. La data e l'ora di formazione,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trasmissione o di ricezione del un documento informatico si intendono bilateralmente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condivise.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8. La trasmissione e la conservazione – a carico dell’Istituto - degli OIL dovranno rispettare 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normativa vigente e conformarsi alle indicazioni tecniche e procedurali emanate da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DigitPA</w:t>
      </w:r>
      <w:proofErr w:type="spellEnd"/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con la deliberazione n. 11/2004 ss. mm. 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9. Il Gestore, all’atto del ricevimento dei flussi contenenti gli OIL, provvede a rendere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disponibile all’Istituto un messaggio attestante la ricezione del flusso; eseguita la verifica del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contenuto del flusso ed acquisiti i dati nel proprio sistema informativo, il Gestore,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direttamente o tramite il proprio polo informatico, predispone e trasmette all’Istituto, un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messaggio di ritorno munito di riferimento temporale, contenente il risultato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dell’acquisizione, segnalando i documenti presi in carico e quelli non potuti acquisire; per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questi ultimi sarà evidenziata la causa che ne ha impedito l’acquisizione. Dalla trasmissione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detto messaggio decorrono i termini per l’eseguibilità dell’ordine conferito previsti ai seguenti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articoli 4 e 5.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10. I flussi inviati dall’Istituto entro le ore 17 saranno acquisiti lo stesso giorno lavorativo (o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bancario a seconda dell’istituto cassiere) mentre eventuali flussi che pervenissero al Gestore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oltre l’orario indicato saranno assunti in carico nel giorno lavorativo successivo.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11. L’Istituto potrà inviare variazioni o annullamenti di OIL precedentemente trasmessi e non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ancora eseguiti. Nel caso in cui gli annullamenti o le variazioni riguardino OIL già eseguiti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 Gestore, non sarà possibile accettare l’annullamento o la variazione della disposizione 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della quietanza, fatta eccezione per le variazioni di elementi non essenziali ai fini della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validità e della regolarità dell’operazione.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12. A seguito dell’ avvenuto pagamento o incasso, il Gestore predispone ed invia giornalmente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all’Istituto un messaggio di esito applicativo munito di riferimento temporale contenente, 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comprova e discarico, la conferma dell’esecuzione dell’OIL; in caso di pagamento per cassa,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 quietanza del creditore raccolta su foglio separato è trattenuta tra gli atti del Gestore.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13. Nelle ipotesi eccezionali in cui per cause oggettive inerenti i canali trasmissivi risulti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impossibile l’invio dell’OIL, l’Istituto comunicherà per iscritto al Gestore i pagamenti e 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riscossioni aventi carattere d’urgenza; il Gestore a seguito di tale comunicazione caricherà 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relativi provvisori di entrata e di uscita.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4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(RISCOSSIONI)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Fermo restando quanto previsto dalla normativa vigente in tema di Tesoreria Unica, le entrate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sono riscosse dal Gestore in base a ordinativi di incasso (reversali) emessi dall'Istituto tramite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OIL firmati dal Dirigente scolastico e dal Direttore dei Servizi Generali ed Amministrativi. 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reversali devono indicare anche l’imputazione al sottoconto fruttifero ovvero infruttifero.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Le reversali devono essere inviate tramite applicativo informatico rispettando i tracciati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previsti nell’Allegato tecnico. Le reversali saranno, di norma, caricate in procedura entro il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secondo giorno lavorativo successivo a quello dell’invio del messaggio di presa in carico da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201312200956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parte del Gestore.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Il Gestore, anche in assenza della preventiva emissione della reversale, è tenuto all'incasso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delle somme che i terzi intendono versare, a qualsiasi titolo e causa, a favore dell’Istituto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contro il rilascio di ricevuta contenente, oltre alla causale del versamento, la clausola espressa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"salvi i diritti dell’Istituto". Tali incassi sono segnalati all’Istituto stesso, il quale emette 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relative reversali entro cinque giorni dalla segnalazione e comunque entro il mese in corso. 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seguito dell’avvenuto incasso, il Gestore predispone ed invia all’Istituto un messaggio di esito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applicativo munito di riferimento temporale contenente, a comprova e discarico, la conferma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dell’esecuzione dell’OIL.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Il prelevamento dal conto corrente postale intestato all’Istituto è disposto dall’Istituto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medesimo nel rispetto della periodicità stabilita dalle disposizioni attuative delle norme sulla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Tesoreria unica e mediante preventiva emissione di reversale intestata all’Istituto stesso.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L’accredito al conto di gestione delle relative somme è effettuato nello stesso giorno in cui il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 acquisisce la disponibilità della somma prelevata dal conto corrente postale.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Il Gestore non è tenuto ad accettare versamenti a mezzo di assegni di conto corrente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bancario e postale. Possono essere accettati assegni circolari o vidimati intestati all’Istituto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che potranno essere accreditati sui conti di cassa solo dopo il relativo incasso da parte del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L’Istituto si impegna ad annullare tramite OIL le reversali non estinte alla data del 31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dicembre.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7. Al fine di ottimizzare e razionalizzare la fase di riscossione delle entrate patrimoniali, il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Gestore, su richiesta dell’Istituto, può attivare, alle condizioni di mercato di cui al successivo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art.14, e alle ulteriori condizioni economiche concordate tra le parti, strumenti di incasso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evoluti quali, in via esemplificativa, il servizio MAV (pagamento Mediante Avviso) bancario 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postale, RID bancario e postale, Incasso domiciliato, Bollettino 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Acquiring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(POS fisico 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virtuale) che velocizzino le fasi di acquisizione delle somme riscosse e assicurino la sollecita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trasmissione dei dati riferiti all’incasso.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8. Gli incassi effettuati mediante gli strumenti di cui al precedente comma danno luogo 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rilascio di quietanza o evidenza bancaria ad effetto liberatorio per il debitore; le somme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provenienti dai predetti incassi sono versate alla cassa dell’Istituto non appena divenute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liquide ed esigibili in relazione ai servizi elettronici adottati.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5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(PAGAMENTI)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Fermo restando quanto previsto dalla normativa vigente in tema di Tesoreria Unica, 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pagamenti sono effettuati dal Gestore in base a ordinativi di pagamento (mandati) emessi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dall'Istituto tramite OIL firmati dal Dirigente scolastico e dal Direttore dei Servizi Generali ed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Amministrativi e relativi ad un unico beneficiario.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2. I mandati di pagamento devono essere inviati tramite applicativo informatico rispettando 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tracciati previsti nell’Allegato tecnico.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Il Gestore su conforme richiesta del predetto Dirigente scolastico, effettua i pagamenti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spese fisse o ricorrenti, come rate di imposte e tasse e canoni relativi alla domiciliazione delle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fatture attinenti le utenze, anche senza i relativi mandati; questi ultimi devono essere emessi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dall’Istituto entro cinque giorni dalla data di pagamento e comunque entro il mese in corso.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I mandati sono ammessi al pagamento, di norma, il secondo giorno lavorativo o lavorativo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bancabile successivo a quello dell’invio del messaggio di presa in carico da parte del Gestore.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 caso di pagamenti da eseguirsi in termine fisso indicato dall'Istituto sull'ordinativo, l'Istituto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medesimo deve trasmettere i mandati entro e non oltre il quarto giorno lavorativo o lavorativo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bancabile precedente alla scadenza. Qualora i mandati rinviino ad allegati cartacei,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l’esecuzione dei mandati stessi ha luogo solo dopo la ricezione dei relativi allegati. In caso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difformità tra gli elementi evidenziati sul mandato e quelli indicati nei connessi allegati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cartacei (ad esempio importo indicato sul bollettino postale non coincidente con quello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201312200956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7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indicato nell’OIL) il Gestore ne dà comunicazione all’Istituto e sospende l’esecuzione fino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alla ricezione di nuovi allegati corretti debitamente.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Il Gestore è esonerato da qualsiasi responsabilità per ritardo o danno conseguenti a difetto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individuazione od ubicazione del creditore, qualora ciò sia dipeso da errore o incompletezza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dei dati evidenziati dall’Istituto sul mandato.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A seguito dell’avvenuto pagamento il Gestore, direttamente o tramite il proprio polo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informatico, predispone ed invia all’Istituto un messaggio di esito applicativo munito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riferimento temporale contenente la conferma, a comprova e discarico, dell’esecuzione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dell’OIL; in caso di pagamento per cassa, la quietanza del creditore è raccolta su foglio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separato ed è trattenuta tra gli atti del Gestore.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7. Per i mandati di pagamento estinti, nel rispetto della normativa vigente in materia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tracciabilità dei flussi finanziari, a mezzo assegno circolare o assegno postale vidimato,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l’Istituto è liberato dall’obbligazione nel momento dell’addebito dell’importo sul conto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cassa o sul conto postale.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8. L’Istituto emette mandati nel rispetto delle prescrizioni di cui all’articolo 12, comma 2, del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D.L. 201/2011 convertito con modificazioni dalla Legge 214/2011..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9. L’Istituto si impegna a non emettere mandati a favore del Direttore dei Servizi Generali ed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Amministrativi dell’Istituto ad eccezione di quelli emessi per il reintegro del fondo minute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spese e di quelli relativi agli emolumenti a lui spettanti.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10. L’estinzione dei mandati ha luogo nel rispetto della legge e secondo le indicazioni fornite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dall’Istituto con assunzione di responsabilità da parte del Gestore che ne risponde con tutte 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proprie attività e con il proprio patrimonio nei confronti sia dell’Istituto sia dei terzi creditori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 ordine alla regolarità delle operazioni di pagamento eseguite.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11. Per le operazioni di pagamento effettuate a favore dei dipendenti (stipendi, rimborsi spese,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ecc.) mediante bonifico e/o mediante altri strumenti di pagamento, l’Istituto non corrisponderà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 Gestore alcun compenso, trattandosi di un servizio prestato dal Gestore stesso a titolo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gratuito.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12. L’Istituto si impegna ad annullare tramite OIL i mandati non estinti alla data del 31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dicembre.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(PAGAMENTI CON CARTE)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Su richiesta dell’Istituto, il Gestore può procedere al rilascio di carte aziendali di credito 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prepagate regolate da apposito contratto e con le modalità di cui ai commi successivi, che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saranno utilizzate ai fini di quanto espresso dall’art 14 comma 1 del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44/2001 e comunque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 base ai criteri e modalità stabiliti dal Ministero dell’istruzione, università e ricerca.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L’Istituto trasmette al Gestore il provvedimento con il quale vengono individuati i soggetti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autorizzati ad effettuare i pagamenti con carte nonché i limiti di utilizzo.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L’Istituto deve fornire con immediatezza al Gestore l’estratto conto ricevuto dalla società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emittente la carta di credito unitamente ai relativi mandati di pagamento a copertura sia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dell’importo dei pagamenti sia delle spese evidenziate in detto estratto.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Il Gestore provvede a registrare l’operazione sul conto dell’Istituto secondo i criteri fissati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 contratto di cui al primo comma.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7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(GESTIONE DELLA LIQUIDITA’ 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Il Gestore, ai sensi dell’art. 2 comma 5 della presente convenzione, propone, su richiesta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dell’Istituto, forme di miglioramento della redditività e/o investimenti che ottimizzino 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gestione delle liquidità non sottoposte al regime di tesoreria unica (cfr. D.M. 22 novembre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1985 ss. mm. 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.), in base alle esigenze dell’Istituto stesso e alle migliori condizioni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mercato.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Tali soluzioni di investimento dovranno sempre assicurare la conservazione del capitale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impegnato, anche nel caso di riscatto anticipato e tenendo conto dell’applicazione di eventuali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201312200956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8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penali.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La durata dei vincoli o degli investimenti deve comunque essere compresa nel periodo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vigenza della presente convenzione.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8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(ANTICIPAZIONE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CASSA)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Fermo restando che l’anticipazione di cassa può essere richiesta limitatamente alle somme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strettamente necessarie per sopperire a momentanee esigenze di cassa, il Gestore, su richiesta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 Dirigente scolastico, concede all’Istituto anticipazioni di cassa entro il limite massimo dei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tre dodicesimi dei trasferimenti erogati (come da modello H di cui al D.I. 44/2001 ss. mm. 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.) a titolo di dotazione ordinaria dal Ministero dell’Istruzione, dell’Università e della Ricerca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nell’anno precedente</w:t>
      </w:r>
      <w:r>
        <w:rPr>
          <w:rFonts w:ascii="Times New Roman" w:hAnsi="Times New Roman" w:cs="Times New Roman"/>
          <w:color w:val="000000"/>
          <w:sz w:val="13"/>
          <w:szCs w:val="13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Gli interessi a carico dell’Istituto sulle somme anticipate ai sensi del precedente comma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decorrono dalla data dell’effettivo utilizzo della somma.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Il Gestore procede di iniziativa per l’immediato rientro delle anticipazioni utilizzate non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appena si verifichino entrate, ai sensi della normativa e dei regolamenti vigenti.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L’anticipazione è strettamente collegata al ruolo del Gestore. Conseguentemente, il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passaggio del servizio ad altro Gestore implica che il soggetto subentrante assuma all’atto del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trasferimento, ogni esposizione in essere sia per capitale sia per interessi ed accessori.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9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(APERTURE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CREDITO PER PROGETTI FORMATIVI)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Il Gestore, su richiesta del Dirigente scolastico e nelle more dell’erogazione di finanziamenti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statali o comunitari, può concedere aperture di credito finalizzate alla realizzazione di progetti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formativi.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La richiesta di cui al comma 1 deve essere corredata dalla documentazione attestante 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conclusione dell’iter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autorizzativo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dei progetti e la data della conseguente erogazione dei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finanziamenti statali o comunitari.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All’atto della richiesta delle aperture di credito per progetti formativi, l’Istituto deve tener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conto che l’importo di dette operazioni non può eccedere complessivamente i nove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dodicesimi dei trasferimenti erogati, (come da modello H di cui al D.I. 44/2001 ss. mm. 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 titolo di dotazione ordinaria, dal Ministero dell’Istruzione, dell’Università e della Ricerca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nell’anno precedente</w:t>
      </w:r>
      <w:r>
        <w:rPr>
          <w:rFonts w:ascii="Times New Roman" w:hAnsi="Times New Roman" w:cs="Times New Roman"/>
          <w:color w:val="000000"/>
          <w:sz w:val="13"/>
          <w:szCs w:val="13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. Nel calcolo di tale limite l’Istituto deve ricomprendere anche gli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importi di eventuali aperture di credito concesse dal gestore uscente e non ancora rientrate. 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durata massima di dette operazioni è di diciotto mesi.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Il Gestore procede di iniziativa all’immediato rientro delle aperture di credito utilizzate non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appena si verifichino le entrate di cui ai predetti finanziamenti statali o comunitari.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L’Istituto, alla scadenza della presente convenzione e in vigenza di un nuovo rapporto con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altro cassiere, si impegna fin d’ora, non appena si verifichino le entrate relative ai connessi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finanziamenti statali o comunitari, a disporre il pagamento a favore del Gestore per 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completa chiusura dell’esposizione per aperture di credito concesse ai sensi del presente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articolo.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L’importo dell’apertura di credito deve comunque corrispondere all’importo realmente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approvato e comunque tener conto di eventuali parziali ammissioni agli importi dei bandi 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cui la scuola partecipa.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10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(FIRME E TRATTAMENTO DATI PERSONALI)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7"/>
          <w:szCs w:val="17"/>
        </w:rPr>
      </w:pPr>
      <w:r>
        <w:rPr>
          <w:rFonts w:ascii="Calibri" w:hAnsi="Calibri" w:cs="Calibri"/>
          <w:color w:val="000000"/>
          <w:sz w:val="11"/>
          <w:szCs w:val="11"/>
        </w:rPr>
        <w:t xml:space="preserve">1 </w:t>
      </w:r>
      <w:r>
        <w:rPr>
          <w:rFonts w:ascii="Calibri" w:hAnsi="Calibri" w:cs="Calibri"/>
          <w:color w:val="000000"/>
          <w:sz w:val="17"/>
          <w:szCs w:val="17"/>
        </w:rPr>
        <w:t>Limitatamente all’esercizio in corso il valore cui riferirsi per il calcolo dei tre dodicesimi è costituito dalla dotazione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7"/>
          <w:szCs w:val="17"/>
        </w:rPr>
      </w:pPr>
      <w:r>
        <w:rPr>
          <w:rFonts w:ascii="Calibri" w:hAnsi="Calibri" w:cs="Calibri"/>
          <w:color w:val="000000"/>
          <w:sz w:val="17"/>
          <w:szCs w:val="17"/>
        </w:rPr>
        <w:t>ordinaria del 2013 evidenziata nella comunicazione del MIUR Protocollo 8110 del 17 dicembre 2012 e successive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7"/>
          <w:szCs w:val="17"/>
        </w:rPr>
      </w:pPr>
      <w:r>
        <w:rPr>
          <w:rFonts w:ascii="Calibri" w:hAnsi="Calibri" w:cs="Calibri"/>
          <w:color w:val="000000"/>
          <w:sz w:val="17"/>
          <w:szCs w:val="17"/>
        </w:rPr>
        <w:t>integrazioni per il periodo settembre dicembre 2013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7"/>
          <w:szCs w:val="17"/>
        </w:rPr>
      </w:pPr>
      <w:r>
        <w:rPr>
          <w:rFonts w:ascii="Calibri" w:hAnsi="Calibri" w:cs="Calibri"/>
          <w:color w:val="000000"/>
          <w:sz w:val="11"/>
          <w:szCs w:val="11"/>
        </w:rPr>
        <w:t xml:space="preserve">2 </w:t>
      </w:r>
      <w:r>
        <w:rPr>
          <w:rFonts w:ascii="Calibri" w:hAnsi="Calibri" w:cs="Calibri"/>
          <w:color w:val="000000"/>
          <w:sz w:val="17"/>
          <w:szCs w:val="17"/>
        </w:rPr>
        <w:t>Limitatamente all’esercizio in corso il valore cui riferirsi per il calcolo dei nove dodicesimi è costituito dalla dotazione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7"/>
          <w:szCs w:val="17"/>
        </w:rPr>
      </w:pPr>
      <w:r>
        <w:rPr>
          <w:rFonts w:ascii="Calibri" w:hAnsi="Calibri" w:cs="Calibri"/>
          <w:color w:val="000000"/>
          <w:sz w:val="17"/>
          <w:szCs w:val="17"/>
        </w:rPr>
        <w:t>ordinaria del 2013 evidenziata nella comunicazione del MIUR Protocollo 8110 del 17 dicembre 2012 e successive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7"/>
          <w:szCs w:val="17"/>
        </w:rPr>
      </w:pPr>
      <w:r>
        <w:rPr>
          <w:rFonts w:ascii="Calibri" w:hAnsi="Calibri" w:cs="Calibri"/>
          <w:color w:val="000000"/>
          <w:sz w:val="17"/>
          <w:szCs w:val="17"/>
        </w:rPr>
        <w:t>integrazioni per il periodo settembre dicembre 2013..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201312200956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9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L’Istituto provvede a depositare presso il Gestore le firme autografe con le generalità delle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persone autorizzate a firmare digitalmente gli ordini di riscossione e di pagamento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impegnandosi a comunicare tempestivamente le eventuali variazioni.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2. L’Istituto provvede a comunicare al Gestore il codice del certificato di firma digitale, il suo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emittente, il numero di serie e la relativa data di scadenza.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Resta inteso che, nel rispetto del Codice in materia di protezione dei dati personali di cui 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decreto legislativo 30 giugno 2003, n. 196 ss. mm. 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., le eventuali incombenze relative 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trattamento dei dati personali da parte di soggetti terzi, con i quali il Gestore viene in contatto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nello svolgimento del servizio di cui alla presente convenzione, sono espletate dall’Istituto.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11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(TRASMISSIONE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ATTI E DOCUMENTI)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Gli ordini di pagamento e quelli di riscossione sono trasmessi dall’Istituto al Gestore tramite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OIL e secondo le prescrizioni dell’Allegato tecnico.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Il Gestore rende disponibile all’Istituto il giornale di cassa secondo le prescrizioni contenute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nello specifico allegato tecnico di cui alle Linee Guida di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DigitPA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richiamate al precedente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art. 3, comma 1.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Su richiesta dell’Istituto il Gestore, al fine di consentire la periodica verifica di cassa, mette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 disposizione dell’Istituto l’elenco delle operazioni di entrata e di uscita eseguite in conto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sospesi e non ancora regolarizzate ed il riepilogo degli ordinativi di riscossione e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pagamento ancora da eseguire.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A chiusura di ciascun trimestre ovvero alla scadenza stabilita tra le parti, il Gestore trasmette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all’Istituto il foglio dell’estratto conto regolato per capitale e interessi.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L’Istituto è tenuto a verificare i giornali di cassa ed il foglio dell’estratto conto, trasmessi dal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Gestore, segnalando, per iscritto tempestivamente e comunque non oltre 60 giorni dalla data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ricevimento degli stessi, le eventuali opposizioni. Decorso tale termine i documenti in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questione si considerano approvati.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12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(AMMINISTRAZIONE TITOLI E VALORI)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Il Gestore assume in custodia ed amministrazione, previa delibera dell’organo competente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dell’Istituto, i titoli ed i valori di proprietà dell’Istituto stesso, che vengono immessi in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deposito amministrato secondo le condizioni e modalità concordate tra le Parti.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Il Gestore custodisce altresì i titoli ed i valori depositati da terzi per cauzione a favore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dell’Istituto. Il Gestore si obbliga a non procedere alla restituzione dei titoli stessi senza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regolare autorizzazione del Dirigente scolastico dell’Istituto.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13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(VERIFICHE)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L’Istituto ha diritto di procedere a verifiche di cassa e dei valori dati in carico ogni qualvolta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lo ritenga necessario ed opportuno. Il Gestore deve esibire, ad ogni richiesta, 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documentazione informatica e le evidenze contabili relative alla gestione. Considerato, altresì,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che la Banca d’Italia invia giornalmente ai tesorieri o cassieri un flusso informativo telematico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contenente le operazioni eseguite a valere sulle contabilità speciali di Tesoreria unica, 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operazioni eventualmente respinte, il saldo provvisorio del giorno, nonché il saldo definitivo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della giornata precedente, è obbligatoria la trasmissione delle suddette informazioni alle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istituzioni scolastiche.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14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(TASSI CREDITORI E DEBITORI)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Sulle giacenze di cassa dell’Istituto non soggette al regime di tesoreria unica è applicato un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interesse annuo nella seguente misura: EURIBOR 365 a 3 mesi, media mese precedente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aumentato/diminuito di ..... punti percentuali, la cui liquidazione ha luogo con cadenza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trimestrale.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Sulle anticipazioni di cassa di cui all’art. 8 è applicato un interesse annuo nella seguente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201312200956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10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misura: EURIBOR 365 a 1 mese, media mese precedente aumentato/diminuito di ..... punti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percentuali, la cui liquidazione ha luogo con cadenza trimestrale.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15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(COMPENSO E SPESE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GESTIONE)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Per il servizio di gestione tenuta conto l’Istituto corrisponderà al Gestore un compenso pari 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€ ................. annuo.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Per l’attivazione e la gestione del servizio di remote banking l’Istituto corrisponderà 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 un compenso pari a € ................. annuo.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Per le operazioni di pagamento effettuate mediante bonifico, esclusi i bonifici stipendi e 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rimborsi spese ai dipendenti, l’Istituto corrisponderà al Gestore un compenso pari a €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................. per transazione.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Per le operazioni di pagamento effettuate attraverso ... , esclusi i bonifici stipendi e 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rimborsi spese ai dipendenti, l’Istituto corrisponderà al Gestore un compenso pari a €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................. per transazione.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[da utilizzare per eventuali altri strumenti di pagamento]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Per l’attivazione e la gestione delle carte di credito l’Istituto corrisponderà al Gestore un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compenso pari a € ................. annui fino ad una carta di credito attivata, un compenso pari a €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................. annui oltre una carta di credito attivata.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Per le operazioni di ricarica delle carte prepagate emesse dal Gestore, l’Istituto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corrisponderà al Gestore un compenso pari a € ................. per singola operazione.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7. Per le operazioni di ricarica di carte prepagate, effettuate tramite circuito interbancario,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l’Istituto corrisponderà al Gestore un compenso pari a € ................. per singola operazione.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8. Per la custodia</w:t>
      </w:r>
      <w:r>
        <w:rPr>
          <w:rFonts w:ascii="Times New Roman" w:hAnsi="Times New Roman" w:cs="Times New Roman"/>
          <w:color w:val="0101FF"/>
          <w:sz w:val="20"/>
          <w:szCs w:val="20"/>
        </w:rPr>
        <w:t>/</w:t>
      </w:r>
      <w:r>
        <w:rPr>
          <w:rFonts w:ascii="Times New Roman" w:hAnsi="Times New Roman" w:cs="Times New Roman"/>
          <w:color w:val="000000"/>
          <w:sz w:val="20"/>
          <w:szCs w:val="20"/>
        </w:rPr>
        <w:t>amministrazione di titoli e valori l’Istituto corrisponderà al Gestore un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compenso pari a € ................. annui.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9. Per il servizio di riscossione tramite procedura MAV bancario e postale l’Istituto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corrisponderà al Gestore un compenso pari a € per singolo avviso emesso, fatto salvo il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recupero delle eventuali spese postali.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10. Per il servizio di riscossione tramite procedura RID bancario e postale l’Istituto corrisponderà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 Gestore un compenso pari a € .................fino a 5000 transazioni , un compenso pari ad €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…..oltre 5000 transazioni.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11. Per il servizio di riscossione tramite procedura RIBA (o incasso domiciliato) l’Istituto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corrisponderà al Gestore un compenso pari a € ................. per singola transazione.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12. Per il servizio di riscossione tramite bollettino bancario o postale l’Istituto corrisponderà 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Gestore un compenso pari a € .................per singola transazione.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13. Per il servizio di riscossione tramite POS l’Istituto corrisponderà al Gestore un compenso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diversificato in dipendenza dei circuiti che applicano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interchange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fee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diverse.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14. Per il servizio di riscossione tramite ... l’Istituto corrisponderà al Gestore un compenso pari a €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................. per singola transazione.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[da utilizzare per eventuali altri strumenti di incasso]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FF0101"/>
          <w:sz w:val="20"/>
          <w:szCs w:val="20"/>
        </w:rPr>
        <w:t xml:space="preserve">15. </w:t>
      </w:r>
      <w:r>
        <w:rPr>
          <w:rFonts w:ascii="Times New Roman" w:hAnsi="Times New Roman" w:cs="Times New Roman"/>
          <w:color w:val="000000"/>
          <w:sz w:val="20"/>
          <w:szCs w:val="20"/>
        </w:rPr>
        <w:t>Il compenso/spese di gestione degli eventuali servizi di incasso in aggiunta a quelli già previsti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saranno remunerati alle condizioni indicate al punto 5 dell’offerta tecnica unitamente alla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descrizione del servizio proposto.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FF0101"/>
          <w:sz w:val="20"/>
          <w:szCs w:val="20"/>
        </w:rPr>
        <w:t xml:space="preserve">16. </w:t>
      </w:r>
      <w:r>
        <w:rPr>
          <w:rFonts w:ascii="Times New Roman" w:hAnsi="Times New Roman" w:cs="Times New Roman"/>
          <w:color w:val="000000"/>
          <w:sz w:val="20"/>
          <w:szCs w:val="20"/>
        </w:rPr>
        <w:t>Il Gestore è rimborsato delle spese postali relative alle comunicazioni inerenti al servizio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trasmesse all’Istituto e per conto dello stesso, delle spese sostenute per l’esecuzione dei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pagamenti che richiedono la corresponsione di un onere, delle tasse postali relative al prelievo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 conto corrente postale e degli oneri fiscali.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(IMPOSTA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BOLLO)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In ordine all’assolvimento dell’imposta di bollo qualora dovuta per le quietanze relative ai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mandati di pagamento ed alle reversali di incasso, l’Istituto e il Gestore si danno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reciprocamente atto che, poiché le procedure informatiche inerenti all’OIL non consentono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b/>
          <w:bCs/>
          <w:color w:val="000000"/>
          <w:sz w:val="14"/>
          <w:szCs w:val="14"/>
        </w:rPr>
        <w:t xml:space="preserve">Formattati: </w:t>
      </w:r>
      <w:r>
        <w:rPr>
          <w:rFonts w:ascii="Tahoma" w:hAnsi="Tahoma" w:cs="Tahoma"/>
          <w:color w:val="000000"/>
          <w:sz w:val="14"/>
          <w:szCs w:val="14"/>
        </w:rPr>
        <w:t>Elenchi puntati 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numerati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201312200956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9"/>
          <w:szCs w:val="19"/>
        </w:rPr>
      </w:pPr>
      <w:r>
        <w:rPr>
          <w:rFonts w:ascii="Calibri" w:hAnsi="Calibri" w:cs="Calibri"/>
          <w:color w:val="000000"/>
          <w:sz w:val="19"/>
          <w:szCs w:val="19"/>
        </w:rPr>
        <w:t>11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accertare la correttezza degli specifici codici e/o descrizioni apposti dall’Istituto, il Gestore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non è in grado di operare verifiche circa la valenza di detta imposta. Pertanto, nei casi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errata/mancante indicazione, nei flussi, dei codici o delle descrizioni appropriati, l’Istituto si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impegna a rifondere al Gestore ogni pagamento inerente le eventuali sanzioni.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17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(DURATA DELLA CONVENZIONE)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1. La presente convenzione ha una durata di quattro anni a partire dal ................. e 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fino </w:t>
      </w:r>
      <w:r>
        <w:rPr>
          <w:rFonts w:ascii="Times New Roman" w:hAnsi="Times New Roman" w:cs="Times New Roman"/>
          <w:color w:val="000000"/>
          <w:sz w:val="20"/>
          <w:szCs w:val="20"/>
        </w:rPr>
        <w:t>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È stabilita la possibilità di ricorrere ad un regime di proroga della convenzione per il tempo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strettamente necessario alla definizione della procedura di aggiudicazione del servizio 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comunque per un periodo massimo di sei mesi.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18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(STIPULA DELLA CONVENZIONE)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Le spese di stipulazione della presente convenzione ed ogni altra conseguente sono a carico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 Gestore.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La registrazione della convenzione è prevista solo in caso d’uso e le relative spese sono a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carico del richiedente.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19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(RINVIO, CONTROVERSIE E DOMICILIO DELLE PARTI)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Per gli effetti della presente convenzione e per tutte le conseguenze dalla medesima derivanti,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l’Istituto e il Gestore eleggono il proprio domicilio presso le rispettive sedi come di seguito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indicato: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 . Istituto – ........... ........ ................................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Gestore – ................ .................... 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Per quanto non previsto dalla presente convenzione, si fa rinvio alla legge ed ai regolamenti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che disciplinano la materia.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Per ogni controversia che dovesse sorgere nell’applicazione del presente contratto il foro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competente deve intendersi quello di ................. .(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luogo ove ha sede l’Istituto</w:t>
      </w:r>
      <w:r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20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(TRACCIABILITA’ DEI FLUSSI FINANZIARI)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101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L’Istituto e il Gestore si conformano alla disciplina di cui all’art. 3 della legge 136/2010</w:t>
      </w:r>
      <w:r>
        <w:rPr>
          <w:rFonts w:ascii="Times New Roman" w:hAnsi="Times New Roman" w:cs="Times New Roman"/>
          <w:color w:val="FF0101"/>
          <w:sz w:val="20"/>
          <w:szCs w:val="20"/>
        </w:rPr>
        <w:t>,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tenuto conto della Determinazione n.4 del 7 luglio 2011 dell’Autorità della Vigilanza sui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Contratti Pubblici (AVCP), avente ad oggetto le Linee Guida sulla tracciabilità dei flussi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finanziari. 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Art. 21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(NORMA TRANSITORIA)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Nelle more dell'adozione delle modalità di colloquio di cui al precedente art. 3 (Caratteristiche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 Servizio) restano in vigore le modalità di colloquio tramite consegna reciproca di supporti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cartacei (mandati, reversali, giornale di cassa, tabulati meccanografici delle quietanze)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regolamentate nel precedente schema di convenzione diramato dal Servizio affari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economicofinanziari</w:t>
      </w:r>
      <w:proofErr w:type="spellEnd"/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del MIUR con Comunicazione n. 13784 del 10/12/2002.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La data effettiva di inizio delle attività connesse all’utilizzo delle modalità di colloquio di cui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all’art. 3, da concordarsi tramite scambio di corrispondenza tra l’Istituto e il Gestore al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termine della fase di collaudo, non dovrà essere successiva ai tre mesi dalla data di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sottoscrizione della presente convenzione.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Data </w:t>
      </w:r>
      <w:r>
        <w:rPr>
          <w:rFonts w:ascii="Times New Roman" w:hAnsi="Times New Roman" w:cs="Times New Roman"/>
          <w:color w:val="000000"/>
          <w:sz w:val="20"/>
          <w:szCs w:val="20"/>
        </w:rPr>
        <w:t>.................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 l’Istituto Per il Gestore</w:t>
      </w:r>
    </w:p>
    <w:p w:rsidR="008C2763" w:rsidRDefault="008C2763" w:rsidP="008C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(il Dirigente scolastico) (il Rappresentante con poteri</w:t>
      </w:r>
    </w:p>
    <w:p w:rsidR="00C01EDE" w:rsidRDefault="008C2763" w:rsidP="008C2763">
      <w:r>
        <w:rPr>
          <w:rFonts w:ascii="Arial" w:hAnsi="Arial" w:cs="Arial"/>
          <w:color w:val="000000"/>
          <w:sz w:val="16"/>
          <w:szCs w:val="16"/>
        </w:rPr>
        <w:t>201312200956</w:t>
      </w:r>
    </w:p>
    <w:sectPr w:rsidR="00C01EDE" w:rsidSect="00AE0D5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C2763"/>
    <w:rsid w:val="008C2763"/>
    <w:rsid w:val="00A85EDB"/>
    <w:rsid w:val="00AE0D56"/>
    <w:rsid w:val="00FF2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0D5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5032</Words>
  <Characters>28685</Characters>
  <Application>Microsoft Office Word</Application>
  <DocSecurity>0</DocSecurity>
  <Lines>239</Lines>
  <Paragraphs>67</Paragraphs>
  <ScaleCrop>false</ScaleCrop>
  <Company/>
  <LinksUpToDate>false</LinksUpToDate>
  <CharactersWithSpaces>33650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Ist. Comp. Bianco</dc:creator>
  <cp:lastModifiedBy>Ist. Comp. Bianco</cp:lastModifiedBy>
  <cp:revision>1</cp:revision>
  <dcterms:created xsi:type="dcterms:W3CDTF">2014-12-09T11:44:00Z</dcterms:created>
  <dcterms:modified xsi:type="dcterms:W3CDTF">2014-12-09T11:45:00Z</dcterms:modified>
</cp:coreProperties>
</file>